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CE" w:rsidRPr="00CA5DCE" w:rsidRDefault="00CA5DCE" w:rsidP="00CA5DCE">
      <w:pPr>
        <w:widowControl/>
        <w:spacing w:line="480" w:lineRule="auto"/>
        <w:ind w:left="100" w:right="687"/>
        <w:jc w:val="center"/>
        <w:outlineLvl w:val="0"/>
        <w:rPr>
          <w:b/>
          <w:bCs/>
          <w:kern w:val="36"/>
          <w:sz w:val="24"/>
          <w:szCs w:val="24"/>
          <w:lang w:val="es-ES"/>
        </w:rPr>
      </w:pPr>
      <w:r w:rsidRPr="00CA5DCE">
        <w:rPr>
          <w:b/>
          <w:bCs/>
          <w:kern w:val="36"/>
          <w:sz w:val="24"/>
          <w:szCs w:val="24"/>
          <w:lang w:val="es-ES"/>
        </w:rPr>
        <w:t>POLÍTICA DE NO DISCRIMINAR</w:t>
      </w:r>
    </w:p>
    <w:p w:rsidR="00CA5DCE" w:rsidRPr="00CA5DCE" w:rsidRDefault="00CA5DCE" w:rsidP="00CA5DCE">
      <w:pPr>
        <w:widowControl/>
        <w:spacing w:line="480" w:lineRule="auto"/>
        <w:ind w:left="100" w:right="687"/>
        <w:jc w:val="center"/>
        <w:outlineLvl w:val="0"/>
        <w:rPr>
          <w:b/>
          <w:bCs/>
          <w:kern w:val="36"/>
          <w:sz w:val="24"/>
          <w:szCs w:val="24"/>
        </w:rPr>
      </w:pPr>
      <w:r w:rsidRPr="00CA5DCE">
        <w:rPr>
          <w:b/>
          <w:bCs/>
          <w:kern w:val="36"/>
          <w:sz w:val="24"/>
          <w:szCs w:val="24"/>
          <w:lang w:val="es-ES"/>
        </w:rPr>
        <w:t>Acuerdo con la sección 1557 del procedimiento de querellas el cuidado asequible ley de</w:t>
      </w:r>
    </w:p>
    <w:p w:rsidR="00CA5DCE" w:rsidRPr="00CA5DCE" w:rsidRDefault="00CA5DCE" w:rsidP="00CA5DCE">
      <w:pPr>
        <w:widowControl/>
        <w:ind w:left="100" w:right="83" w:firstLine="720"/>
        <w:rPr>
          <w:sz w:val="24"/>
          <w:szCs w:val="24"/>
        </w:rPr>
      </w:pPr>
      <w:r w:rsidRPr="00CA5DCE">
        <w:rPr>
          <w:sz w:val="24"/>
          <w:szCs w:val="24"/>
          <w:lang w:val="es-ES"/>
        </w:rPr>
        <w:t xml:space="preserve">Es la política de </w:t>
      </w:r>
      <w:proofErr w:type="spellStart"/>
      <w:r w:rsidRPr="00CA5DCE">
        <w:rPr>
          <w:sz w:val="24"/>
          <w:szCs w:val="24"/>
          <w:lang w:val="es-ES"/>
        </w:rPr>
        <w:t>Midwest</w:t>
      </w:r>
      <w:proofErr w:type="spellEnd"/>
      <w:r w:rsidRPr="00CA5DCE">
        <w:rPr>
          <w:sz w:val="24"/>
          <w:szCs w:val="24"/>
          <w:lang w:val="es-ES"/>
        </w:rPr>
        <w:t xml:space="preserve"> Regional alergia, asma, artritis y Osteoporosis Center, PC, no para discriminar sobre la base de raza, color, origen nacional, sexo, edad o discapacidad. </w:t>
      </w:r>
      <w:proofErr w:type="spellStart"/>
      <w:r w:rsidRPr="00CA5DCE">
        <w:rPr>
          <w:sz w:val="24"/>
          <w:szCs w:val="24"/>
          <w:lang w:val="es-ES"/>
        </w:rPr>
        <w:t>Midwest</w:t>
      </w:r>
      <w:proofErr w:type="spellEnd"/>
      <w:r w:rsidRPr="00CA5DCE">
        <w:rPr>
          <w:sz w:val="24"/>
          <w:szCs w:val="24"/>
          <w:lang w:val="es-ES"/>
        </w:rPr>
        <w:t xml:space="preserve"> Regional alergia, asma, artritis y Osteoporosis Center, PC, ha adoptado un procedimiento de queja internos para resolución rápida y equitativa de las quejas alegando cualquier acción prohibida por la sección de 1557 de la </w:t>
      </w:r>
      <w:proofErr w:type="spellStart"/>
      <w:r w:rsidRPr="00CA5DCE">
        <w:rPr>
          <w:sz w:val="24"/>
          <w:szCs w:val="24"/>
          <w:lang w:val="es-ES"/>
        </w:rPr>
        <w:t>Affordable</w:t>
      </w:r>
      <w:proofErr w:type="spellEnd"/>
      <w:r w:rsidRPr="00CA5DCE">
        <w:rPr>
          <w:sz w:val="24"/>
          <w:szCs w:val="24"/>
          <w:lang w:val="es-ES"/>
        </w:rPr>
        <w:t xml:space="preserve"> </w:t>
      </w:r>
      <w:proofErr w:type="spellStart"/>
      <w:r w:rsidRPr="00CA5DCE">
        <w:rPr>
          <w:sz w:val="24"/>
          <w:szCs w:val="24"/>
          <w:lang w:val="es-ES"/>
        </w:rPr>
        <w:t>Care</w:t>
      </w:r>
      <w:proofErr w:type="spellEnd"/>
      <w:r w:rsidRPr="00CA5DCE">
        <w:rPr>
          <w:sz w:val="24"/>
          <w:szCs w:val="24"/>
          <w:lang w:val="es-ES"/>
        </w:rPr>
        <w:t xml:space="preserve"> </w:t>
      </w:r>
      <w:proofErr w:type="spellStart"/>
      <w:r w:rsidRPr="00CA5DCE">
        <w:rPr>
          <w:sz w:val="24"/>
          <w:szCs w:val="24"/>
          <w:lang w:val="es-ES"/>
        </w:rPr>
        <w:t>Act</w:t>
      </w:r>
      <w:proofErr w:type="spellEnd"/>
      <w:r w:rsidRPr="00CA5DCE">
        <w:rPr>
          <w:sz w:val="24"/>
          <w:szCs w:val="24"/>
          <w:lang w:val="es-ES"/>
        </w:rPr>
        <w:t xml:space="preserve"> (42 U.S.C. § 18116) y su normativa de desarrollo en 45 C.F.R. pt 92, emitido por el Departamento de salud y servicios humanos de los Estados Unidos. Sección 1557 prohíbe la discriminación por raza, color, origen nacional, sexo, edad o discapacidad en ciertas actividades y programas de salud. Sección de 1557 y su normativa de desarrollo puede ser examinado en la oficina de la </w:t>
      </w:r>
      <w:proofErr w:type="spellStart"/>
      <w:r w:rsidRPr="00CA5DCE">
        <w:rPr>
          <w:sz w:val="24"/>
          <w:szCs w:val="24"/>
          <w:lang w:val="es-ES"/>
        </w:rPr>
        <w:t>Ginger</w:t>
      </w:r>
      <w:proofErr w:type="spellEnd"/>
      <w:r w:rsidRPr="00CA5DCE">
        <w:rPr>
          <w:sz w:val="24"/>
          <w:szCs w:val="24"/>
          <w:lang w:val="es-ES"/>
        </w:rPr>
        <w:t xml:space="preserve"> </w:t>
      </w:r>
      <w:proofErr w:type="spellStart"/>
      <w:r w:rsidRPr="00CA5DCE">
        <w:rPr>
          <w:sz w:val="24"/>
          <w:szCs w:val="24"/>
          <w:lang w:val="es-ES"/>
        </w:rPr>
        <w:t>Sweet</w:t>
      </w:r>
      <w:proofErr w:type="spellEnd"/>
      <w:r w:rsidRPr="00CA5DCE">
        <w:rPr>
          <w:sz w:val="24"/>
          <w:szCs w:val="24"/>
          <w:lang w:val="es-ES"/>
        </w:rPr>
        <w:t xml:space="preserve"> la Gerente de oficina ubicada en 1027 S </w:t>
      </w:r>
      <w:proofErr w:type="spellStart"/>
      <w:r w:rsidRPr="00CA5DCE">
        <w:rPr>
          <w:sz w:val="24"/>
          <w:szCs w:val="24"/>
          <w:lang w:val="es-ES"/>
        </w:rPr>
        <w:t>Main</w:t>
      </w:r>
      <w:proofErr w:type="spellEnd"/>
      <w:r w:rsidRPr="00CA5DCE">
        <w:rPr>
          <w:sz w:val="24"/>
          <w:szCs w:val="24"/>
          <w:lang w:val="es-ES"/>
        </w:rPr>
        <w:t xml:space="preserve"> Street Suite 202, </w:t>
      </w:r>
      <w:proofErr w:type="spellStart"/>
      <w:r w:rsidRPr="00CA5DCE">
        <w:rPr>
          <w:sz w:val="24"/>
          <w:szCs w:val="24"/>
          <w:lang w:val="es-ES"/>
        </w:rPr>
        <w:t>Joplin</w:t>
      </w:r>
      <w:proofErr w:type="spellEnd"/>
      <w:r w:rsidRPr="00CA5DCE">
        <w:rPr>
          <w:sz w:val="24"/>
          <w:szCs w:val="24"/>
          <w:lang w:val="es-ES"/>
        </w:rPr>
        <w:t xml:space="preserve">, Missouri 64801, teléfono número 417-624-0050, Fax 417-624-1331, Email-ginger@michaeleejosephmd.com, que ha sido designado para coordinar los esfuerzos de </w:t>
      </w:r>
      <w:proofErr w:type="spellStart"/>
      <w:r w:rsidRPr="00CA5DCE">
        <w:rPr>
          <w:sz w:val="24"/>
          <w:szCs w:val="24"/>
          <w:lang w:val="es-ES"/>
        </w:rPr>
        <w:t>Midwest</w:t>
      </w:r>
      <w:proofErr w:type="spellEnd"/>
      <w:r w:rsidRPr="00CA5DCE">
        <w:rPr>
          <w:sz w:val="24"/>
          <w:szCs w:val="24"/>
          <w:lang w:val="es-ES"/>
        </w:rPr>
        <w:t xml:space="preserve"> Regional alergia, asma, artritis </w:t>
      </w:r>
      <w:r w:rsidR="00FB0636">
        <w:rPr>
          <w:sz w:val="24"/>
          <w:szCs w:val="24"/>
          <w:lang w:val="es-ES"/>
        </w:rPr>
        <w:t>y</w:t>
      </w:r>
      <w:r w:rsidRPr="00CA5DCE">
        <w:rPr>
          <w:sz w:val="24"/>
          <w:szCs w:val="24"/>
          <w:lang w:val="es-ES"/>
        </w:rPr>
        <w:t xml:space="preserve"> Osteoporosis Center, PC, para cumplir con la sección de 1557.</w:t>
      </w:r>
    </w:p>
    <w:p w:rsidR="00CA5DCE" w:rsidRPr="00CA5DCE" w:rsidRDefault="00CA5DCE" w:rsidP="00CA5DCE">
      <w:pPr>
        <w:widowControl/>
        <w:ind w:left="100" w:right="83" w:firstLine="720"/>
        <w:rPr>
          <w:sz w:val="24"/>
          <w:szCs w:val="24"/>
        </w:rPr>
      </w:pPr>
      <w:r w:rsidRPr="00CA5DCE">
        <w:rPr>
          <w:sz w:val="24"/>
          <w:szCs w:val="24"/>
        </w:rPr>
        <w:t> </w:t>
      </w:r>
    </w:p>
    <w:p w:rsidR="00CA5DCE" w:rsidRPr="00CA5DCE" w:rsidRDefault="00CA5DCE" w:rsidP="00CA5DCE">
      <w:pPr>
        <w:widowControl/>
        <w:ind w:left="100" w:right="83" w:firstLine="720"/>
        <w:rPr>
          <w:sz w:val="24"/>
          <w:szCs w:val="24"/>
        </w:rPr>
      </w:pPr>
      <w:r w:rsidRPr="00CA5DCE">
        <w:rPr>
          <w:sz w:val="24"/>
          <w:szCs w:val="24"/>
          <w:lang w:val="es-ES"/>
        </w:rPr>
        <w:t xml:space="preserve">Cualquier persona que cree que alguien ha sido víctima de discriminación por motivos de raza, color, origen nacional, sexo, edad o discapacidad puede presentar una queja bajo este procedimiento. Es contra la ley para </w:t>
      </w:r>
      <w:proofErr w:type="spellStart"/>
      <w:r w:rsidRPr="00CA5DCE">
        <w:rPr>
          <w:sz w:val="24"/>
          <w:szCs w:val="24"/>
          <w:lang w:val="es-ES"/>
        </w:rPr>
        <w:t>Midwest</w:t>
      </w:r>
      <w:proofErr w:type="spellEnd"/>
      <w:r w:rsidRPr="00CA5DCE">
        <w:rPr>
          <w:sz w:val="24"/>
          <w:szCs w:val="24"/>
          <w:lang w:val="es-ES"/>
        </w:rPr>
        <w:t xml:space="preserve"> Regional alergia, asma, artritis y Osteoporosis Center, PC para tomar represalias contra cualquier persona que se opone a la discriminación, presenta una queja o participa en la investigación de una queja.</w:t>
      </w:r>
    </w:p>
    <w:p w:rsidR="00CA5DCE" w:rsidRPr="00CA5DCE" w:rsidRDefault="00CA5DCE" w:rsidP="00CA5DCE">
      <w:pPr>
        <w:widowControl/>
        <w:ind w:left="100" w:right="83" w:firstLine="720"/>
        <w:rPr>
          <w:sz w:val="24"/>
          <w:szCs w:val="24"/>
        </w:rPr>
      </w:pPr>
      <w:r w:rsidRPr="00CA5DCE">
        <w:rPr>
          <w:sz w:val="24"/>
          <w:szCs w:val="24"/>
        </w:rPr>
        <w:t> </w:t>
      </w:r>
    </w:p>
    <w:p w:rsidR="00CA5DCE" w:rsidRPr="00CA5DCE" w:rsidRDefault="00CA5DCE" w:rsidP="00CA5DCE">
      <w:pPr>
        <w:widowControl/>
        <w:ind w:left="820"/>
        <w:outlineLvl w:val="0"/>
        <w:rPr>
          <w:b/>
          <w:bCs/>
          <w:kern w:val="36"/>
          <w:sz w:val="24"/>
          <w:szCs w:val="24"/>
          <w:lang w:val="es-ES"/>
        </w:rPr>
      </w:pPr>
      <w:r w:rsidRPr="00CA5DCE">
        <w:rPr>
          <w:b/>
          <w:bCs/>
          <w:kern w:val="36"/>
          <w:sz w:val="24"/>
          <w:szCs w:val="24"/>
          <w:lang w:val="es-ES"/>
        </w:rPr>
        <w:t>Procedimiento:</w:t>
      </w:r>
    </w:p>
    <w:p w:rsidR="00CA5DCE" w:rsidRPr="00CA5DCE" w:rsidRDefault="00CA5DCE" w:rsidP="00CA5DCE">
      <w:pPr>
        <w:widowControl/>
        <w:rPr>
          <w:sz w:val="24"/>
          <w:szCs w:val="24"/>
        </w:rPr>
      </w:pPr>
      <w:r w:rsidRPr="00CA5DCE">
        <w:rPr>
          <w:b/>
          <w:bCs/>
          <w:sz w:val="23"/>
          <w:szCs w:val="23"/>
        </w:rPr>
        <w:t> </w:t>
      </w:r>
    </w:p>
    <w:p w:rsidR="00CA5DCE" w:rsidRPr="00CA5DCE" w:rsidRDefault="00CA5DCE" w:rsidP="00CA5DCE">
      <w:pPr>
        <w:widowControl/>
        <w:ind w:left="820" w:right="117" w:hanging="360"/>
      </w:pPr>
      <w:r w:rsidRPr="00CA5DCE">
        <w:rPr>
          <w:rFonts w:ascii="Symbol" w:hAnsi="Symbol"/>
          <w:sz w:val="24"/>
          <w:szCs w:val="24"/>
        </w:rPr>
        <w:t></w:t>
      </w:r>
      <w:r w:rsidRPr="00CA5DCE">
        <w:rPr>
          <w:sz w:val="14"/>
          <w:szCs w:val="14"/>
        </w:rPr>
        <w:t xml:space="preserve">         </w:t>
      </w:r>
      <w:r w:rsidRPr="00CA5DCE">
        <w:rPr>
          <w:sz w:val="24"/>
          <w:szCs w:val="24"/>
          <w:lang w:val="es-ES"/>
        </w:rPr>
        <w:t>Reclamaciones deben presentarse a la oficina del administrador (Coordinador de sección 1557) dentro de (60 días) de la fecha de la persona que presenta la queja se convierte en conocimiento de la presunta discriminación</w:t>
      </w:r>
      <w:r w:rsidRPr="00CA5DCE">
        <w:rPr>
          <w:spacing w:val="-24"/>
          <w:sz w:val="24"/>
          <w:szCs w:val="24"/>
          <w:lang w:val="es-ES"/>
        </w:rPr>
        <w:t xml:space="preserve"> </w:t>
      </w:r>
      <w:r w:rsidRPr="00CA5DCE">
        <w:rPr>
          <w:sz w:val="24"/>
          <w:szCs w:val="24"/>
          <w:lang w:val="es-ES"/>
        </w:rPr>
        <w:t>acción.</w:t>
      </w:r>
    </w:p>
    <w:p w:rsidR="00CA5DCE" w:rsidRPr="00CA5DCE" w:rsidRDefault="00CA5DCE" w:rsidP="00CA5DCE">
      <w:pPr>
        <w:widowControl/>
        <w:ind w:left="2172" w:right="117"/>
      </w:pPr>
      <w:r w:rsidRPr="00CA5DCE">
        <w:rPr>
          <w:sz w:val="24"/>
          <w:szCs w:val="24"/>
        </w:rPr>
        <w:t> </w:t>
      </w:r>
    </w:p>
    <w:p w:rsidR="00CA5DCE" w:rsidRPr="00CA5DCE" w:rsidRDefault="00CA5DCE" w:rsidP="00CA5DCE">
      <w:pPr>
        <w:widowControl/>
        <w:ind w:left="2172" w:right="117"/>
      </w:pPr>
      <w:r w:rsidRPr="00CA5DCE">
        <w:rPr>
          <w:sz w:val="24"/>
          <w:szCs w:val="24"/>
          <w:lang w:val="es-ES"/>
        </w:rPr>
        <w:t>ATENCIÓN: GERENTE DE LA OFICINA</w:t>
      </w:r>
    </w:p>
    <w:p w:rsidR="00CA5DCE" w:rsidRPr="00CA5DCE" w:rsidRDefault="00CA5DCE" w:rsidP="00CA5DCE">
      <w:pPr>
        <w:widowControl/>
        <w:ind w:left="2172" w:right="117"/>
      </w:pPr>
      <w:r w:rsidRPr="00CA5DCE">
        <w:rPr>
          <w:sz w:val="24"/>
          <w:szCs w:val="24"/>
          <w:lang w:val="es-ES"/>
        </w:rPr>
        <w:t xml:space="preserve">1027 S </w:t>
      </w:r>
      <w:proofErr w:type="spellStart"/>
      <w:r w:rsidRPr="00CA5DCE">
        <w:rPr>
          <w:sz w:val="24"/>
          <w:szCs w:val="24"/>
          <w:lang w:val="es-ES"/>
        </w:rPr>
        <w:t>Main</w:t>
      </w:r>
      <w:proofErr w:type="spellEnd"/>
      <w:r w:rsidRPr="00CA5DCE">
        <w:rPr>
          <w:sz w:val="24"/>
          <w:szCs w:val="24"/>
          <w:lang w:val="es-ES"/>
        </w:rPr>
        <w:t xml:space="preserve"> </w:t>
      </w:r>
      <w:proofErr w:type="spellStart"/>
      <w:r w:rsidRPr="00CA5DCE">
        <w:rPr>
          <w:sz w:val="24"/>
          <w:szCs w:val="24"/>
          <w:lang w:val="es-ES"/>
        </w:rPr>
        <w:t>St</w:t>
      </w:r>
      <w:proofErr w:type="spellEnd"/>
      <w:r w:rsidRPr="00CA5DCE">
        <w:rPr>
          <w:sz w:val="24"/>
          <w:szCs w:val="24"/>
          <w:lang w:val="es-ES"/>
        </w:rPr>
        <w:t xml:space="preserve"> Suite 202</w:t>
      </w:r>
    </w:p>
    <w:p w:rsidR="00CA5DCE" w:rsidRPr="00CA5DCE" w:rsidRDefault="00CA5DCE" w:rsidP="00CA5DCE">
      <w:pPr>
        <w:widowControl/>
        <w:ind w:left="2172" w:right="117"/>
      </w:pPr>
      <w:proofErr w:type="spellStart"/>
      <w:r w:rsidRPr="00CA5DCE">
        <w:rPr>
          <w:sz w:val="24"/>
          <w:szCs w:val="24"/>
          <w:lang w:val="es-ES"/>
        </w:rPr>
        <w:t>Joplin</w:t>
      </w:r>
      <w:proofErr w:type="spellEnd"/>
      <w:r w:rsidRPr="00CA5DCE">
        <w:rPr>
          <w:sz w:val="24"/>
          <w:szCs w:val="24"/>
          <w:lang w:val="es-ES"/>
        </w:rPr>
        <w:t xml:space="preserve"> MO 64801</w:t>
      </w:r>
    </w:p>
    <w:p w:rsidR="00CA5DCE" w:rsidRPr="00CA5DCE" w:rsidRDefault="00CA5DCE" w:rsidP="00CA5DCE">
      <w:pPr>
        <w:widowControl/>
        <w:ind w:right="117"/>
      </w:pPr>
      <w:r w:rsidRPr="00CA5DCE">
        <w:rPr>
          <w:sz w:val="24"/>
          <w:szCs w:val="24"/>
        </w:rPr>
        <w:t> </w:t>
      </w:r>
    </w:p>
    <w:p w:rsidR="00CA5DCE" w:rsidRPr="00CA5DCE" w:rsidRDefault="00CA5DCE" w:rsidP="00CA5DCE">
      <w:pPr>
        <w:widowControl/>
        <w:ind w:left="820" w:hanging="360"/>
      </w:pPr>
      <w:proofErr w:type="gramStart"/>
      <w:r w:rsidRPr="00CA5DCE">
        <w:rPr>
          <w:rFonts w:ascii="Symbol" w:hAnsi="Symbol"/>
          <w:sz w:val="24"/>
          <w:szCs w:val="24"/>
        </w:rPr>
        <w:t></w:t>
      </w:r>
      <w:r w:rsidRPr="00CA5DCE">
        <w:rPr>
          <w:sz w:val="14"/>
          <w:szCs w:val="14"/>
        </w:rPr>
        <w:t xml:space="preserve">         </w:t>
      </w:r>
      <w:r w:rsidRPr="00CA5DCE">
        <w:rPr>
          <w:sz w:val="24"/>
          <w:szCs w:val="24"/>
          <w:lang w:val="es-ES"/>
        </w:rPr>
        <w:t>Una queja debe ser por escrito, que contiene el nombre y la dirección de la persona que presenta</w:t>
      </w:r>
      <w:r w:rsidRPr="00CA5DCE">
        <w:rPr>
          <w:spacing w:val="-22"/>
          <w:sz w:val="24"/>
          <w:szCs w:val="24"/>
          <w:lang w:val="es-ES"/>
        </w:rPr>
        <w:t xml:space="preserve"> </w:t>
      </w:r>
      <w:r w:rsidRPr="00CA5DCE">
        <w:rPr>
          <w:sz w:val="24"/>
          <w:szCs w:val="24"/>
          <w:lang w:val="es-ES"/>
        </w:rPr>
        <w:t>él.</w:t>
      </w:r>
      <w:proofErr w:type="gramEnd"/>
    </w:p>
    <w:p w:rsidR="00CA5DCE" w:rsidRPr="00CA5DCE" w:rsidRDefault="00CA5DCE" w:rsidP="00CA5DCE">
      <w:pPr>
        <w:widowControl/>
        <w:rPr>
          <w:sz w:val="24"/>
          <w:szCs w:val="24"/>
        </w:rPr>
      </w:pPr>
      <w:r w:rsidRPr="00CA5DCE">
        <w:rPr>
          <w:sz w:val="23"/>
          <w:szCs w:val="23"/>
        </w:rPr>
        <w:t> </w:t>
      </w:r>
    </w:p>
    <w:p w:rsidR="00CA5DCE" w:rsidRPr="00CA5DCE" w:rsidRDefault="00CA5DCE" w:rsidP="00CA5DCE">
      <w:pPr>
        <w:widowControl/>
        <w:ind w:left="820" w:right="495" w:hanging="360"/>
        <w:rPr>
          <w:sz w:val="24"/>
          <w:szCs w:val="24"/>
        </w:rPr>
      </w:pPr>
      <w:proofErr w:type="gramStart"/>
      <w:r w:rsidRPr="00CA5DCE">
        <w:rPr>
          <w:rFonts w:ascii="Symbol" w:hAnsi="Symbol"/>
          <w:sz w:val="24"/>
          <w:szCs w:val="24"/>
        </w:rPr>
        <w:t></w:t>
      </w:r>
      <w:r w:rsidRPr="00CA5DCE">
        <w:rPr>
          <w:sz w:val="14"/>
          <w:szCs w:val="14"/>
        </w:rPr>
        <w:t xml:space="preserve">         </w:t>
      </w:r>
      <w:r w:rsidRPr="00CA5DCE">
        <w:rPr>
          <w:sz w:val="24"/>
          <w:szCs w:val="24"/>
          <w:lang w:val="es-ES"/>
        </w:rPr>
        <w:t>La denuncia debe indicar el problema o acción presuntamente discriminatorias y solicita el remedio o alivio.</w:t>
      </w:r>
      <w:proofErr w:type="gramEnd"/>
    </w:p>
    <w:p w:rsidR="00CA5DCE" w:rsidRPr="00CA5DCE" w:rsidRDefault="00CA5DCE" w:rsidP="00CA5DCE">
      <w:pPr>
        <w:widowControl/>
        <w:ind w:left="100" w:right="495"/>
        <w:rPr>
          <w:sz w:val="24"/>
          <w:szCs w:val="24"/>
        </w:rPr>
      </w:pPr>
      <w:r w:rsidRPr="00CA5DCE">
        <w:rPr>
          <w:sz w:val="24"/>
          <w:szCs w:val="24"/>
        </w:rPr>
        <w:t> </w:t>
      </w:r>
    </w:p>
    <w:p w:rsidR="00CA5DCE" w:rsidRPr="00CA5DCE" w:rsidRDefault="00CA5DCE" w:rsidP="00CA5DCE">
      <w:pPr>
        <w:widowControl/>
        <w:ind w:left="820" w:hanging="360"/>
      </w:pPr>
      <w:proofErr w:type="gramStart"/>
      <w:r w:rsidRPr="00CA5DCE">
        <w:rPr>
          <w:rFonts w:ascii="Symbol" w:hAnsi="Symbol"/>
          <w:sz w:val="24"/>
          <w:szCs w:val="24"/>
        </w:rPr>
        <w:t></w:t>
      </w:r>
      <w:r w:rsidRPr="00CA5DCE">
        <w:rPr>
          <w:sz w:val="14"/>
          <w:szCs w:val="14"/>
        </w:rPr>
        <w:t xml:space="preserve">         </w:t>
      </w:r>
      <w:r w:rsidRPr="00CA5DCE">
        <w:rPr>
          <w:sz w:val="24"/>
          <w:szCs w:val="24"/>
          <w:lang w:val="es-ES"/>
        </w:rPr>
        <w:t>Coordinador de la oficina jefe de sección 1557 llevará a cabo una investigación de</w:t>
      </w:r>
      <w:r w:rsidRPr="00CA5DCE">
        <w:rPr>
          <w:spacing w:val="-20"/>
          <w:sz w:val="24"/>
          <w:szCs w:val="24"/>
          <w:lang w:val="es-ES"/>
        </w:rPr>
        <w:t xml:space="preserve"> </w:t>
      </w:r>
      <w:r w:rsidRPr="00CA5DCE">
        <w:rPr>
          <w:sz w:val="24"/>
          <w:szCs w:val="24"/>
          <w:lang w:val="es-ES"/>
        </w:rPr>
        <w:t>la queja.</w:t>
      </w:r>
      <w:proofErr w:type="gramEnd"/>
      <w:r w:rsidRPr="00CA5DCE">
        <w:rPr>
          <w:sz w:val="24"/>
          <w:szCs w:val="24"/>
          <w:lang w:val="es-ES"/>
        </w:rPr>
        <w:t xml:space="preserve"> Esta investigación puede ser informal, pero se cuidadoso, con todas las personas interesadas la oportunidad de presentar pruebas pertinentes a la queja. La sección 1557 Coordinadora mantendrá los archivos y registros de </w:t>
      </w:r>
      <w:proofErr w:type="spellStart"/>
      <w:r w:rsidRPr="00CA5DCE">
        <w:rPr>
          <w:lang w:val="es-ES"/>
        </w:rPr>
        <w:t>Midwest</w:t>
      </w:r>
      <w:proofErr w:type="spellEnd"/>
      <w:r w:rsidRPr="00CA5DCE">
        <w:rPr>
          <w:lang w:val="es-ES"/>
        </w:rPr>
        <w:t xml:space="preserve"> Regional alergia, asma, artritis y Osteoporosis Center, PC, </w:t>
      </w:r>
      <w:r w:rsidRPr="00CA5DCE">
        <w:rPr>
          <w:sz w:val="24"/>
          <w:szCs w:val="24"/>
          <w:lang w:val="es-ES"/>
        </w:rPr>
        <w:t xml:space="preserve">relativos a tales agravios. A la medida de lo posible y de </w:t>
      </w:r>
      <w:r w:rsidRPr="00CA5DCE">
        <w:rPr>
          <w:sz w:val="24"/>
          <w:szCs w:val="24"/>
          <w:lang w:val="es-ES"/>
        </w:rPr>
        <w:lastRenderedPageBreak/>
        <w:t>acuerdo con ley aplicable, la sección 1557 Coordinadora tomará medidas razonables para preservar la confidencialidad de los archivos y registros relacionados con quejas y compartan sólo con aquellos que tienen la necesidad de a</w:t>
      </w:r>
      <w:r w:rsidRPr="00CA5DCE">
        <w:rPr>
          <w:spacing w:val="-5"/>
          <w:sz w:val="24"/>
          <w:szCs w:val="24"/>
          <w:lang w:val="es-ES"/>
        </w:rPr>
        <w:t xml:space="preserve"> </w:t>
      </w:r>
      <w:proofErr w:type="spellStart"/>
      <w:r w:rsidRPr="00CA5DCE">
        <w:rPr>
          <w:sz w:val="24"/>
          <w:szCs w:val="24"/>
          <w:lang w:val="es-ES"/>
        </w:rPr>
        <w:t>sabe</w:t>
      </w:r>
      <w:proofErr w:type="spellEnd"/>
      <w:r w:rsidRPr="00CA5DCE">
        <w:rPr>
          <w:sz w:val="24"/>
          <w:szCs w:val="24"/>
          <w:lang w:val="es-ES"/>
        </w:rPr>
        <w:t>.</w:t>
      </w:r>
    </w:p>
    <w:p w:rsidR="00CA5DCE" w:rsidRPr="00CA5DCE" w:rsidRDefault="00CA5DCE" w:rsidP="00CA5DCE">
      <w:pPr>
        <w:widowControl/>
        <w:ind w:left="820" w:hanging="360"/>
      </w:pPr>
      <w:r w:rsidRPr="00CA5DCE">
        <w:rPr>
          <w:sz w:val="24"/>
          <w:szCs w:val="24"/>
        </w:rPr>
        <w:t> </w:t>
      </w:r>
    </w:p>
    <w:p w:rsidR="00CA5DCE" w:rsidRPr="00CA5DCE" w:rsidRDefault="00CA5DCE" w:rsidP="00CA5DCE">
      <w:pPr>
        <w:widowControl/>
        <w:spacing w:before="15"/>
        <w:ind w:left="820" w:right="227" w:hanging="360"/>
      </w:pPr>
      <w:r w:rsidRPr="00CA5DCE">
        <w:rPr>
          <w:rFonts w:ascii="Symbol" w:hAnsi="Symbol"/>
          <w:sz w:val="24"/>
          <w:szCs w:val="24"/>
        </w:rPr>
        <w:t></w:t>
      </w:r>
      <w:r w:rsidRPr="00CA5DCE">
        <w:rPr>
          <w:sz w:val="14"/>
          <w:szCs w:val="14"/>
        </w:rPr>
        <w:t xml:space="preserve">         </w:t>
      </w:r>
      <w:r w:rsidRPr="00CA5DCE">
        <w:rPr>
          <w:sz w:val="24"/>
          <w:szCs w:val="24"/>
          <w:lang w:val="es-ES"/>
        </w:rPr>
        <w:t>El Coordinador de la sección 1557 emitirá una decisión por escrito sobre la reclamación, basada en una preponderancia de la evidencia, no más tarde de 30 días después de su presentación, incluyendo una notificación al demandante de su derecho a seguir administrativas o legales</w:t>
      </w:r>
      <w:r w:rsidRPr="00CA5DCE">
        <w:rPr>
          <w:spacing w:val="-21"/>
          <w:sz w:val="24"/>
          <w:szCs w:val="24"/>
          <w:lang w:val="es-ES"/>
        </w:rPr>
        <w:t xml:space="preserve"> </w:t>
      </w:r>
      <w:r w:rsidRPr="00CA5DCE">
        <w:rPr>
          <w:sz w:val="24"/>
          <w:szCs w:val="24"/>
          <w:lang w:val="es-ES"/>
        </w:rPr>
        <w:t>remedios.</w:t>
      </w:r>
    </w:p>
    <w:p w:rsidR="00CA5DCE" w:rsidRPr="00CA5DCE" w:rsidRDefault="00CA5DCE" w:rsidP="00CA5DCE">
      <w:pPr>
        <w:widowControl/>
        <w:spacing w:before="23"/>
        <w:ind w:left="820" w:right="106" w:hanging="360"/>
      </w:pPr>
      <w:r w:rsidRPr="00CA5DCE">
        <w:rPr>
          <w:rFonts w:ascii="Symbol" w:hAnsi="Symbol"/>
          <w:sz w:val="24"/>
          <w:szCs w:val="24"/>
        </w:rPr>
        <w:t></w:t>
      </w:r>
      <w:r w:rsidRPr="00CA5DCE">
        <w:rPr>
          <w:sz w:val="14"/>
          <w:szCs w:val="14"/>
        </w:rPr>
        <w:t xml:space="preserve">         </w:t>
      </w:r>
      <w:r w:rsidRPr="00CA5DCE">
        <w:rPr>
          <w:sz w:val="24"/>
          <w:szCs w:val="24"/>
          <w:lang w:val="es-ES"/>
        </w:rPr>
        <w:t>La persona que presenta la queja puede apelar la decisión de la sección 1557 Coordinadora por escrito al (dueño) dentro de 15 días de recibir la decisión del Coordinador Sección de 1557. (El dueño) emitirá una decisión escrita en respuesta a la apelación no más tardar 30 días después de la</w:t>
      </w:r>
      <w:r w:rsidRPr="00CA5DCE">
        <w:rPr>
          <w:spacing w:val="-12"/>
          <w:sz w:val="24"/>
          <w:szCs w:val="24"/>
          <w:lang w:val="es-ES"/>
        </w:rPr>
        <w:t xml:space="preserve"> </w:t>
      </w:r>
      <w:r w:rsidRPr="00CA5DCE">
        <w:rPr>
          <w:sz w:val="24"/>
          <w:szCs w:val="24"/>
          <w:lang w:val="es-ES"/>
        </w:rPr>
        <w:t>presentar.</w:t>
      </w:r>
    </w:p>
    <w:p w:rsidR="00CA5DCE" w:rsidRPr="00CA5DCE" w:rsidRDefault="00CA5DCE" w:rsidP="00CA5DCE">
      <w:pPr>
        <w:widowControl/>
        <w:spacing w:before="23"/>
        <w:ind w:right="106"/>
      </w:pPr>
      <w:r w:rsidRPr="00CA5DCE">
        <w:rPr>
          <w:sz w:val="24"/>
          <w:szCs w:val="24"/>
        </w:rPr>
        <w:t> </w:t>
      </w:r>
    </w:p>
    <w:p w:rsidR="00CA5DCE" w:rsidRPr="00CA5DCE" w:rsidRDefault="00CA5DCE" w:rsidP="00CA5DCE">
      <w:pPr>
        <w:widowControl/>
        <w:spacing w:before="15"/>
        <w:ind w:left="100" w:right="119" w:firstLine="720"/>
        <w:rPr>
          <w:sz w:val="24"/>
          <w:szCs w:val="24"/>
        </w:rPr>
      </w:pPr>
      <w:r w:rsidRPr="00CA5DCE">
        <w:rPr>
          <w:sz w:val="24"/>
          <w:szCs w:val="24"/>
          <w:lang w:val="es-ES"/>
        </w:rPr>
        <w:t xml:space="preserve">La disponibilidad y uso de este procedimiento de queja no impide que una persona buscando otros remedios legales o administrativas, incluyendo cómo presentar una queja de discriminación por motivos de raza, color, origen nacional, sexo, edad o discapacidad en el Tribunal o con los Estados Unidos Departamento de salud y servicios humanos, oficina de derechos civiles. Una persona puede presentar una queja de discriminación electrónicamente a través de la oficina para derechos civiles denuncia Portal, que está disponible en: </w:t>
      </w:r>
      <w:hyperlink r:id="rId6" w:tgtFrame="_top" w:history="1">
        <w:r w:rsidRPr="00CA5DCE">
          <w:rPr>
            <w:color w:val="0000FF"/>
            <w:sz w:val="24"/>
            <w:szCs w:val="24"/>
            <w:u w:val="single"/>
            <w:lang w:val="es-ES"/>
          </w:rPr>
          <w:t xml:space="preserve">https://ocrportal.hhs.gov/ocr/portal/lobby.jsf, </w:t>
        </w:r>
      </w:hyperlink>
      <w:r w:rsidRPr="00CA5DCE">
        <w:rPr>
          <w:sz w:val="24"/>
          <w:szCs w:val="24"/>
          <w:lang w:val="es-ES"/>
        </w:rPr>
        <w:t>o por correo o por teléfono</w:t>
      </w:r>
      <w:r w:rsidRPr="00CA5DCE">
        <w:rPr>
          <w:spacing w:val="-23"/>
          <w:sz w:val="24"/>
          <w:szCs w:val="24"/>
          <w:lang w:val="es-ES"/>
        </w:rPr>
        <w:t xml:space="preserve"> </w:t>
      </w:r>
      <w:r w:rsidRPr="00CA5DCE">
        <w:rPr>
          <w:sz w:val="24"/>
          <w:szCs w:val="24"/>
          <w:lang w:val="es-ES"/>
        </w:rPr>
        <w:t>en:</w:t>
      </w:r>
    </w:p>
    <w:p w:rsidR="00CA5DCE" w:rsidRPr="00CA5DCE" w:rsidRDefault="00CA5DCE" w:rsidP="00CA5DCE">
      <w:pPr>
        <w:widowControl/>
        <w:spacing w:before="15"/>
        <w:ind w:left="100" w:right="119" w:firstLine="720"/>
        <w:rPr>
          <w:sz w:val="24"/>
          <w:szCs w:val="24"/>
        </w:rPr>
      </w:pPr>
      <w:r w:rsidRPr="00CA5DCE">
        <w:rPr>
          <w:sz w:val="24"/>
          <w:szCs w:val="24"/>
        </w:rPr>
        <w:t> </w:t>
      </w:r>
    </w:p>
    <w:p w:rsidR="00CA5DCE" w:rsidRPr="00CA5DCE" w:rsidRDefault="00CA5DCE" w:rsidP="00CA5DCE">
      <w:pPr>
        <w:widowControl/>
        <w:spacing w:before="9"/>
        <w:ind w:left="820" w:firstLine="620"/>
        <w:rPr>
          <w:sz w:val="24"/>
          <w:szCs w:val="24"/>
          <w:lang w:val="es-ES"/>
        </w:rPr>
      </w:pPr>
      <w:r w:rsidRPr="00CA5DCE">
        <w:rPr>
          <w:sz w:val="24"/>
          <w:szCs w:val="24"/>
          <w:lang w:val="es-ES"/>
        </w:rPr>
        <w:t>Departamento de salud y servicios humanos de los Estados Unidos</w:t>
      </w:r>
    </w:p>
    <w:p w:rsidR="00CA5DCE" w:rsidRPr="00CA5DCE" w:rsidRDefault="00CA5DCE" w:rsidP="00CA5DCE">
      <w:pPr>
        <w:widowControl/>
        <w:ind w:left="720" w:firstLine="720"/>
        <w:rPr>
          <w:lang w:val="es-ES"/>
        </w:rPr>
      </w:pPr>
      <w:r w:rsidRPr="00CA5DCE">
        <w:rPr>
          <w:lang w:val="es-ES"/>
        </w:rPr>
        <w:t xml:space="preserve">200 independencia </w:t>
      </w:r>
      <w:proofErr w:type="spellStart"/>
      <w:r w:rsidRPr="00CA5DCE">
        <w:rPr>
          <w:lang w:val="es-ES"/>
        </w:rPr>
        <w:t>Avenue</w:t>
      </w:r>
      <w:proofErr w:type="spellEnd"/>
      <w:r w:rsidRPr="00CA5DCE">
        <w:rPr>
          <w:lang w:val="es-ES"/>
        </w:rPr>
        <w:t xml:space="preserve">, SW </w:t>
      </w:r>
      <w:proofErr w:type="spellStart"/>
      <w:r w:rsidRPr="00CA5DCE">
        <w:rPr>
          <w:lang w:val="es-ES"/>
        </w:rPr>
        <w:t>Room</w:t>
      </w:r>
      <w:proofErr w:type="spellEnd"/>
      <w:r w:rsidRPr="00CA5DCE">
        <w:rPr>
          <w:lang w:val="es-ES"/>
        </w:rPr>
        <w:t xml:space="preserve"> 509F, HHH </w:t>
      </w:r>
      <w:proofErr w:type="spellStart"/>
      <w:r w:rsidRPr="00CA5DCE">
        <w:rPr>
          <w:lang w:val="es-ES"/>
        </w:rPr>
        <w:t>Building</w:t>
      </w:r>
      <w:proofErr w:type="spellEnd"/>
    </w:p>
    <w:p w:rsidR="00CA5DCE" w:rsidRPr="00CA5DCE" w:rsidRDefault="00CA5DCE" w:rsidP="00CA5DCE">
      <w:pPr>
        <w:widowControl/>
        <w:ind w:left="720" w:firstLine="720"/>
        <w:rPr>
          <w:lang w:val="es-ES"/>
        </w:rPr>
      </w:pPr>
      <w:r w:rsidRPr="00CA5DCE">
        <w:rPr>
          <w:lang w:val="es-ES"/>
        </w:rPr>
        <w:t>Washington, D.C. 20201</w:t>
      </w:r>
    </w:p>
    <w:p w:rsidR="00CA5DCE" w:rsidRPr="00CA5DCE" w:rsidRDefault="00CA5DCE" w:rsidP="00CA5DCE">
      <w:pPr>
        <w:widowControl/>
        <w:spacing w:before="10"/>
        <w:ind w:left="100" w:right="82"/>
        <w:rPr>
          <w:sz w:val="24"/>
          <w:szCs w:val="24"/>
        </w:rPr>
      </w:pPr>
      <w:r w:rsidRPr="00CA5DCE">
        <w:rPr>
          <w:sz w:val="24"/>
          <w:szCs w:val="24"/>
        </w:rPr>
        <w:t> </w:t>
      </w:r>
    </w:p>
    <w:p w:rsidR="00CA5DCE" w:rsidRPr="00CA5DCE" w:rsidRDefault="00CA5DCE" w:rsidP="00CA5DCE">
      <w:pPr>
        <w:widowControl/>
        <w:spacing w:before="10"/>
        <w:ind w:left="100" w:right="82"/>
        <w:rPr>
          <w:sz w:val="24"/>
          <w:szCs w:val="24"/>
        </w:rPr>
      </w:pPr>
      <w:r w:rsidRPr="00CA5DCE">
        <w:rPr>
          <w:sz w:val="24"/>
          <w:szCs w:val="24"/>
          <w:lang w:val="es-ES"/>
        </w:rPr>
        <w:t xml:space="preserve">Formularios están disponibles en: </w:t>
      </w:r>
      <w:hyperlink r:id="rId7" w:tgtFrame="_top" w:history="1">
        <w:r w:rsidRPr="00CA5DCE">
          <w:rPr>
            <w:color w:val="0000FF"/>
            <w:sz w:val="24"/>
            <w:szCs w:val="24"/>
            <w:u w:val="single"/>
            <w:lang w:val="es-ES"/>
          </w:rPr>
          <w:t xml:space="preserve">http://www.hhs.gov/ocr/office/file/index.html </w:t>
        </w:r>
      </w:hyperlink>
      <w:r w:rsidRPr="00CA5DCE">
        <w:rPr>
          <w:sz w:val="24"/>
          <w:szCs w:val="24"/>
        </w:rPr>
        <w:t xml:space="preserve">. </w:t>
      </w:r>
    </w:p>
    <w:p w:rsidR="00CA5DCE" w:rsidRPr="00CA5DCE" w:rsidRDefault="00CA5DCE" w:rsidP="00CA5DCE">
      <w:pPr>
        <w:widowControl/>
        <w:spacing w:before="10"/>
        <w:ind w:left="100" w:right="82"/>
        <w:rPr>
          <w:sz w:val="24"/>
          <w:szCs w:val="24"/>
        </w:rPr>
      </w:pPr>
      <w:r w:rsidRPr="00CA5DCE">
        <w:rPr>
          <w:sz w:val="24"/>
          <w:szCs w:val="24"/>
        </w:rPr>
        <w:t> </w:t>
      </w:r>
    </w:p>
    <w:p w:rsidR="00CA5DCE" w:rsidRPr="00CA5DCE" w:rsidRDefault="00CA5DCE" w:rsidP="00CA5DCE">
      <w:pPr>
        <w:widowControl/>
        <w:spacing w:before="10"/>
        <w:ind w:left="100" w:right="82"/>
        <w:rPr>
          <w:sz w:val="24"/>
          <w:szCs w:val="24"/>
          <w:lang w:val="es-ES"/>
        </w:rPr>
      </w:pPr>
      <w:r w:rsidRPr="00CA5DCE">
        <w:rPr>
          <w:sz w:val="24"/>
          <w:szCs w:val="24"/>
          <w:lang w:val="es-ES"/>
        </w:rPr>
        <w:t xml:space="preserve">Este tipo de quejas debe ser </w:t>
      </w:r>
      <w:proofErr w:type="gramStart"/>
      <w:r w:rsidRPr="00CA5DCE">
        <w:rPr>
          <w:sz w:val="24"/>
          <w:szCs w:val="24"/>
          <w:lang w:val="es-ES"/>
        </w:rPr>
        <w:t>presentada</w:t>
      </w:r>
      <w:proofErr w:type="gramEnd"/>
      <w:r w:rsidRPr="00CA5DCE">
        <w:rPr>
          <w:sz w:val="24"/>
          <w:szCs w:val="24"/>
          <w:lang w:val="es-ES"/>
        </w:rPr>
        <w:t xml:space="preserve"> dentro de 180 días de la fecha de la supuesta discriminación.</w:t>
      </w:r>
    </w:p>
    <w:p w:rsidR="00CA5DCE" w:rsidRPr="00CA5DCE" w:rsidRDefault="00CA5DCE" w:rsidP="00CA5DCE">
      <w:pPr>
        <w:widowControl/>
        <w:spacing w:before="10"/>
        <w:ind w:left="100" w:right="82"/>
        <w:rPr>
          <w:sz w:val="24"/>
          <w:szCs w:val="24"/>
        </w:rPr>
      </w:pPr>
      <w:r w:rsidRPr="00CA5DCE">
        <w:rPr>
          <w:sz w:val="24"/>
          <w:szCs w:val="24"/>
        </w:rPr>
        <w:t> </w:t>
      </w:r>
    </w:p>
    <w:p w:rsidR="00CA5DCE" w:rsidRPr="00CA5DCE" w:rsidRDefault="00CA5DCE" w:rsidP="00CA5DCE">
      <w:pPr>
        <w:widowControl/>
        <w:spacing w:before="10"/>
        <w:ind w:left="100" w:firstLine="720"/>
        <w:rPr>
          <w:sz w:val="24"/>
          <w:szCs w:val="24"/>
        </w:rPr>
      </w:pPr>
      <w:proofErr w:type="spellStart"/>
      <w:r w:rsidRPr="00CA5DCE">
        <w:rPr>
          <w:sz w:val="24"/>
          <w:szCs w:val="24"/>
          <w:lang w:val="es-ES"/>
        </w:rPr>
        <w:t>Midwest</w:t>
      </w:r>
      <w:proofErr w:type="spellEnd"/>
      <w:r w:rsidRPr="00CA5DCE">
        <w:rPr>
          <w:sz w:val="24"/>
          <w:szCs w:val="24"/>
          <w:lang w:val="es-ES"/>
        </w:rPr>
        <w:t xml:space="preserve"> Regional alergia, asma, artritis y Osteoporosis Center, PC, hará arreglos para asegurar que las personas con discapacidad y personas con dominio limitado del inglés se proporcionan ayudas auxiliares y servicios o servicios de asistencia de idiomas, respectivamente, si es necesario para participar en este proceso de queja. Estos acuerdos pueden incluir, pero no se limitan a proporcionar intérpretes cualificados, proporcionando con cinta de </w:t>
      </w:r>
      <w:proofErr w:type="spellStart"/>
      <w:r w:rsidRPr="00CA5DCE">
        <w:rPr>
          <w:sz w:val="24"/>
          <w:szCs w:val="24"/>
          <w:lang w:val="es-ES"/>
        </w:rPr>
        <w:t>cassettes</w:t>
      </w:r>
      <w:proofErr w:type="spellEnd"/>
      <w:r w:rsidRPr="00CA5DCE">
        <w:rPr>
          <w:sz w:val="24"/>
          <w:szCs w:val="24"/>
          <w:lang w:val="es-ES"/>
        </w:rPr>
        <w:t xml:space="preserve"> de material para las personas con baja visión o asegurar un lugar libre de obstáculos para el proceso. Coordinador de 1557 de la sección será responsable de los arreglos.</w:t>
      </w:r>
    </w:p>
    <w:p w:rsidR="00CA5DCE" w:rsidRPr="00CA5DCE" w:rsidRDefault="00CA5DCE" w:rsidP="00CA5DCE">
      <w:pPr>
        <w:widowControl/>
        <w:rPr>
          <w:sz w:val="24"/>
          <w:szCs w:val="24"/>
        </w:rPr>
      </w:pPr>
      <w:r w:rsidRPr="00CA5DCE">
        <w:rPr>
          <w:sz w:val="20"/>
          <w:szCs w:val="20"/>
        </w:rPr>
        <w:t> </w:t>
      </w:r>
    </w:p>
    <w:p w:rsidR="00CA5DCE" w:rsidRPr="00CA5DCE" w:rsidRDefault="00CA5DCE" w:rsidP="00CA5DCE">
      <w:pPr>
        <w:widowControl/>
        <w:spacing w:before="1"/>
        <w:rPr>
          <w:sz w:val="24"/>
          <w:szCs w:val="24"/>
        </w:rPr>
      </w:pPr>
      <w:r w:rsidRPr="00CA5DCE">
        <w:rPr>
          <w:sz w:val="21"/>
          <w:szCs w:val="21"/>
        </w:rPr>
        <w:t> </w:t>
      </w:r>
    </w:p>
    <w:p w:rsidR="00CA5DCE" w:rsidRPr="00CA5DCE" w:rsidRDefault="00CA5DCE" w:rsidP="00CA5DCE">
      <w:pPr>
        <w:widowControl/>
        <w:spacing w:before="90"/>
        <w:ind w:left="820"/>
        <w:rPr>
          <w:sz w:val="24"/>
          <w:szCs w:val="24"/>
        </w:rPr>
      </w:pPr>
      <w:r w:rsidRPr="00CA5DCE">
        <w:rPr>
          <w:sz w:val="24"/>
          <w:szCs w:val="24"/>
        </w:rPr>
        <w:t> </w:t>
      </w:r>
    </w:p>
    <w:p w:rsidR="00CA5DCE" w:rsidRPr="00CA5DCE" w:rsidRDefault="00CA5DCE" w:rsidP="00CA5DCE">
      <w:pPr>
        <w:widowControl/>
        <w:spacing w:before="90"/>
        <w:ind w:left="820"/>
        <w:rPr>
          <w:sz w:val="24"/>
          <w:szCs w:val="24"/>
        </w:rPr>
      </w:pPr>
      <w:r w:rsidRPr="00CA5DCE">
        <w:rPr>
          <w:sz w:val="24"/>
          <w:szCs w:val="24"/>
        </w:rPr>
        <w:t> </w:t>
      </w:r>
    </w:p>
    <w:p w:rsidR="00CA5DCE" w:rsidRPr="00CA5DCE" w:rsidRDefault="00CA5DCE" w:rsidP="00CA5DCE">
      <w:pPr>
        <w:widowControl/>
        <w:spacing w:before="90"/>
        <w:ind w:left="820"/>
        <w:rPr>
          <w:sz w:val="24"/>
          <w:szCs w:val="24"/>
        </w:rPr>
      </w:pPr>
      <w:r w:rsidRPr="00CA5DCE">
        <w:rPr>
          <w:sz w:val="24"/>
          <w:szCs w:val="24"/>
        </w:rPr>
        <w:t> </w:t>
      </w:r>
    </w:p>
    <w:p w:rsidR="00CA5DCE" w:rsidRPr="00CA5DCE" w:rsidRDefault="00CA5DCE" w:rsidP="00CA5DCE">
      <w:pPr>
        <w:widowControl/>
        <w:spacing w:before="90"/>
        <w:ind w:left="820"/>
        <w:rPr>
          <w:sz w:val="24"/>
          <w:szCs w:val="24"/>
        </w:rPr>
      </w:pPr>
      <w:r w:rsidRPr="00CA5DCE">
        <w:rPr>
          <w:sz w:val="24"/>
          <w:szCs w:val="24"/>
        </w:rPr>
        <w:t> </w:t>
      </w:r>
    </w:p>
    <w:p w:rsidR="00CA5DCE" w:rsidRPr="00CA5DCE" w:rsidRDefault="00CA5DCE" w:rsidP="0095034A">
      <w:pPr>
        <w:widowControl/>
        <w:spacing w:before="90"/>
        <w:ind w:left="820"/>
        <w:rPr>
          <w:rFonts w:ascii="Arial" w:hAnsi="Arial" w:cs="Arial"/>
          <w:vanish/>
          <w:color w:val="000000"/>
          <w:sz w:val="18"/>
          <w:szCs w:val="18"/>
        </w:rPr>
      </w:pPr>
      <w:r w:rsidRPr="00CA5DCE">
        <w:rPr>
          <w:sz w:val="24"/>
          <w:szCs w:val="24"/>
          <w:lang w:val="es-ES"/>
        </w:rPr>
        <w:t>Fecha: 31 de octubre de 2016</w:t>
      </w:r>
      <w:r w:rsidRPr="00CA5DCE">
        <w:rPr>
          <w:rFonts w:ascii="Arial" w:hAnsi="Arial" w:cs="Arial"/>
          <w:noProof/>
          <w:vanish/>
          <w:color w:val="0000FF"/>
          <w:sz w:val="18"/>
          <w:szCs w:val="18"/>
        </w:rPr>
        <w:drawing>
          <wp:inline distT="0" distB="0" distL="0" distR="0" wp14:anchorId="07C74A2D" wp14:editId="0375576D">
            <wp:extent cx="516890" cy="182880"/>
            <wp:effectExtent l="0" t="0" r="0" b="7620"/>
            <wp:docPr id="1" name="Picture 1" descr="https://ssl.translatoruser.net/static/242031/img/tooltip_logo.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42031/img/tooltip_logo.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182880"/>
                    </a:xfrm>
                    <a:prstGeom prst="rect">
                      <a:avLst/>
                    </a:prstGeom>
                    <a:noFill/>
                    <a:ln>
                      <a:noFill/>
                    </a:ln>
                  </pic:spPr>
                </pic:pic>
              </a:graphicData>
            </a:graphic>
          </wp:inline>
        </w:drawing>
      </w:r>
      <w:r w:rsidRPr="00CA5DCE">
        <w:rPr>
          <w:rFonts w:ascii="Arial" w:hAnsi="Arial" w:cs="Arial"/>
          <w:noProof/>
          <w:vanish/>
          <w:color w:val="000000"/>
          <w:sz w:val="18"/>
          <w:szCs w:val="18"/>
        </w:rPr>
        <w:drawing>
          <wp:inline distT="0" distB="0" distL="0" distR="0" wp14:anchorId="47A7911E" wp14:editId="0276FF4C">
            <wp:extent cx="79375" cy="79375"/>
            <wp:effectExtent l="0" t="0" r="0" b="0"/>
            <wp:docPr id="2" name="Picture 2" descr="https://ssl.translatoruser.net/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42031/img/tooltip_clos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rsidR="00CA5DCE" w:rsidRPr="00CA5DCE" w:rsidRDefault="00CA5DCE" w:rsidP="00CA5DCE">
      <w:pPr>
        <w:widowControl/>
        <w:shd w:val="clear" w:color="auto" w:fill="E6E6E6"/>
        <w:autoSpaceDE/>
        <w:autoSpaceDN/>
        <w:rPr>
          <w:rFonts w:ascii="Arial" w:hAnsi="Arial" w:cs="Arial"/>
          <w:b/>
          <w:bCs/>
          <w:vanish/>
          <w:color w:val="000000"/>
          <w:sz w:val="18"/>
          <w:szCs w:val="18"/>
        </w:rPr>
      </w:pPr>
      <w:r w:rsidRPr="00CA5DCE">
        <w:rPr>
          <w:rFonts w:ascii="Arial" w:hAnsi="Arial" w:cs="Arial"/>
          <w:b/>
          <w:bCs/>
          <w:vanish/>
          <w:color w:val="000000"/>
          <w:sz w:val="18"/>
          <w:szCs w:val="18"/>
        </w:rPr>
        <w:t>Original</w:t>
      </w:r>
    </w:p>
    <w:p w:rsidR="00CA5DCE" w:rsidRPr="00CA5DCE" w:rsidRDefault="00CA5DCE" w:rsidP="00CA5DCE">
      <w:pPr>
        <w:widowControl/>
        <w:shd w:val="clear" w:color="auto" w:fill="E6E6E6"/>
        <w:autoSpaceDE/>
        <w:autoSpaceDN/>
        <w:rPr>
          <w:rFonts w:ascii="Arial" w:hAnsi="Arial" w:cs="Arial"/>
          <w:vanish/>
          <w:color w:val="000000"/>
          <w:sz w:val="18"/>
          <w:szCs w:val="18"/>
        </w:rPr>
      </w:pPr>
      <w:r w:rsidRPr="00CA5DCE">
        <w:rPr>
          <w:rFonts w:ascii="Arial" w:hAnsi="Arial" w:cs="Arial"/>
          <w:vanish/>
          <w:color w:val="000000"/>
          <w:sz w:val="18"/>
          <w:szCs w:val="18"/>
        </w:rPr>
        <w:t>NON-DISCRIMATION POLICY</w:t>
      </w:r>
    </w:p>
    <w:p w:rsidR="00CA5DCE" w:rsidRDefault="00CA5DCE" w:rsidP="00CA5DCE">
      <w:pPr>
        <w:pStyle w:val="BodyText"/>
        <w:spacing w:before="90"/>
        <w:ind w:left="820"/>
      </w:pPr>
      <w:bookmarkStart w:id="0" w:name="_GoBack"/>
      <w:bookmarkEnd w:id="0"/>
    </w:p>
    <w:p w:rsidR="00B64D76" w:rsidRDefault="00B64D76"/>
    <w:sectPr w:rsidR="00B64D76">
      <w:headerReference w:type="default" r:id="rId11"/>
      <w:footerReference w:type="default" r:id="rId12"/>
      <w:pgSz w:w="12240" w:h="15840"/>
      <w:pgMar w:top="13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662297"/>
      <w:docPartObj>
        <w:docPartGallery w:val="Page Numbers (Bottom of Page)"/>
        <w:docPartUnique/>
      </w:docPartObj>
    </w:sdtPr>
    <w:sdtEndPr>
      <w:rPr>
        <w:noProof/>
      </w:rPr>
    </w:sdtEndPr>
    <w:sdtContent>
      <w:p w:rsidR="005729A5" w:rsidRDefault="009503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29A5" w:rsidRDefault="009503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32"/>
      </w:rPr>
      <w:alias w:val="Title"/>
      <w:id w:val="-1826044936"/>
      <w:placeholder/>
      <w:dataBinding w:prefixMappings="xmlns:ns0='http://schemas.openxmlformats.org/package/2006/metadata/core-properties' xmlns:ns1='http://purl.org/dc/elements/1.1/'" w:xpath="/ns0:coreProperties[1]/ns1:title[1]" w:storeItemID="{6C3C8BC8-F283-45AE-878A-BAB7291924A1}"/>
      <w:text/>
    </w:sdtPr>
    <w:sdtEndPr/>
    <w:sdtContent>
      <w:p w:rsidR="0033648D" w:rsidRPr="0033648D" w:rsidRDefault="0095034A">
        <w:pPr>
          <w:pStyle w:val="Header"/>
          <w:pBdr>
            <w:bottom w:val="thickThinSmallGap" w:sz="24" w:space="1" w:color="622423" w:themeColor="accent2" w:themeShade="7F"/>
          </w:pBdr>
          <w:jc w:val="center"/>
          <w:rPr>
            <w:rFonts w:asciiTheme="majorHAnsi" w:eastAsiaTheme="majorEastAsia" w:hAnsiTheme="majorHAnsi" w:cstheme="majorBidi"/>
            <w:sz w:val="28"/>
            <w:szCs w:val="32"/>
          </w:rPr>
        </w:pPr>
      </w:p>
    </w:sdtContent>
  </w:sdt>
  <w:p w:rsidR="0033648D" w:rsidRDefault="00950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4220"/>
    <w:multiLevelType w:val="hybridMultilevel"/>
    <w:tmpl w:val="EE1E9808"/>
    <w:lvl w:ilvl="0" w:tplc="1A5EDC5A">
      <w:numFmt w:val="bullet"/>
      <w:lvlText w:val=""/>
      <w:lvlJc w:val="left"/>
      <w:pPr>
        <w:ind w:left="820" w:hanging="360"/>
      </w:pPr>
      <w:rPr>
        <w:rFonts w:ascii="Symbol" w:eastAsia="Symbol" w:hAnsi="Symbol" w:cs="Symbol" w:hint="default"/>
        <w:w w:val="100"/>
        <w:sz w:val="24"/>
        <w:szCs w:val="24"/>
      </w:rPr>
    </w:lvl>
    <w:lvl w:ilvl="1" w:tplc="04662844">
      <w:numFmt w:val="bullet"/>
      <w:lvlText w:val="•"/>
      <w:lvlJc w:val="left"/>
      <w:pPr>
        <w:ind w:left="1676" w:hanging="360"/>
      </w:pPr>
      <w:rPr>
        <w:rFonts w:hint="default"/>
      </w:rPr>
    </w:lvl>
    <w:lvl w:ilvl="2" w:tplc="1CC88210">
      <w:numFmt w:val="bullet"/>
      <w:lvlText w:val="•"/>
      <w:lvlJc w:val="left"/>
      <w:pPr>
        <w:ind w:left="2532" w:hanging="360"/>
      </w:pPr>
      <w:rPr>
        <w:rFonts w:hint="default"/>
      </w:rPr>
    </w:lvl>
    <w:lvl w:ilvl="3" w:tplc="32D20B70">
      <w:numFmt w:val="bullet"/>
      <w:lvlText w:val="•"/>
      <w:lvlJc w:val="left"/>
      <w:pPr>
        <w:ind w:left="3388" w:hanging="360"/>
      </w:pPr>
      <w:rPr>
        <w:rFonts w:hint="default"/>
      </w:rPr>
    </w:lvl>
    <w:lvl w:ilvl="4" w:tplc="31D087F8">
      <w:numFmt w:val="bullet"/>
      <w:lvlText w:val="•"/>
      <w:lvlJc w:val="left"/>
      <w:pPr>
        <w:ind w:left="4244" w:hanging="360"/>
      </w:pPr>
      <w:rPr>
        <w:rFonts w:hint="default"/>
      </w:rPr>
    </w:lvl>
    <w:lvl w:ilvl="5" w:tplc="A0FA00BE">
      <w:numFmt w:val="bullet"/>
      <w:lvlText w:val="•"/>
      <w:lvlJc w:val="left"/>
      <w:pPr>
        <w:ind w:left="5100" w:hanging="360"/>
      </w:pPr>
      <w:rPr>
        <w:rFonts w:hint="default"/>
      </w:rPr>
    </w:lvl>
    <w:lvl w:ilvl="6" w:tplc="F7A4EAAC">
      <w:numFmt w:val="bullet"/>
      <w:lvlText w:val="•"/>
      <w:lvlJc w:val="left"/>
      <w:pPr>
        <w:ind w:left="5956" w:hanging="360"/>
      </w:pPr>
      <w:rPr>
        <w:rFonts w:hint="default"/>
      </w:rPr>
    </w:lvl>
    <w:lvl w:ilvl="7" w:tplc="7BA00E34">
      <w:numFmt w:val="bullet"/>
      <w:lvlText w:val="•"/>
      <w:lvlJc w:val="left"/>
      <w:pPr>
        <w:ind w:left="6812" w:hanging="360"/>
      </w:pPr>
      <w:rPr>
        <w:rFonts w:hint="default"/>
      </w:rPr>
    </w:lvl>
    <w:lvl w:ilvl="8" w:tplc="50A098F2">
      <w:numFmt w:val="bullet"/>
      <w:lvlText w:val="•"/>
      <w:lvlJc w:val="left"/>
      <w:pPr>
        <w:ind w:left="7668" w:hanging="360"/>
      </w:pPr>
      <w:rPr>
        <w:rFonts w:hint="default"/>
      </w:rPr>
    </w:lvl>
  </w:abstractNum>
  <w:abstractNum w:abstractNumId="1">
    <w:nsid w:val="545C1A4C"/>
    <w:multiLevelType w:val="hybridMultilevel"/>
    <w:tmpl w:val="E4448C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CE"/>
    <w:rsid w:val="0095034A"/>
    <w:rsid w:val="00B64D76"/>
    <w:rsid w:val="00CA5DCE"/>
    <w:rsid w:val="00F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DC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A5DCE"/>
    <w:pPr>
      <w:spacing w:before="1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DC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A5DCE"/>
    <w:pPr>
      <w:ind w:left="100"/>
    </w:pPr>
    <w:rPr>
      <w:sz w:val="24"/>
      <w:szCs w:val="24"/>
    </w:rPr>
  </w:style>
  <w:style w:type="character" w:customStyle="1" w:styleId="BodyTextChar">
    <w:name w:val="Body Text Char"/>
    <w:basedOn w:val="DefaultParagraphFont"/>
    <w:link w:val="BodyText"/>
    <w:uiPriority w:val="1"/>
    <w:rsid w:val="00CA5DCE"/>
    <w:rPr>
      <w:rFonts w:ascii="Times New Roman" w:eastAsia="Times New Roman" w:hAnsi="Times New Roman" w:cs="Times New Roman"/>
      <w:sz w:val="24"/>
      <w:szCs w:val="24"/>
    </w:rPr>
  </w:style>
  <w:style w:type="paragraph" w:styleId="ListParagraph">
    <w:name w:val="List Paragraph"/>
    <w:basedOn w:val="Normal"/>
    <w:uiPriority w:val="1"/>
    <w:qFormat/>
    <w:rsid w:val="00CA5DCE"/>
    <w:pPr>
      <w:ind w:left="820" w:hanging="360"/>
    </w:pPr>
  </w:style>
  <w:style w:type="paragraph" w:styleId="Header">
    <w:name w:val="header"/>
    <w:basedOn w:val="Normal"/>
    <w:link w:val="HeaderChar"/>
    <w:uiPriority w:val="99"/>
    <w:unhideWhenUsed/>
    <w:rsid w:val="00CA5DCE"/>
    <w:pPr>
      <w:tabs>
        <w:tab w:val="center" w:pos="4680"/>
        <w:tab w:val="right" w:pos="9360"/>
      </w:tabs>
    </w:pPr>
  </w:style>
  <w:style w:type="character" w:customStyle="1" w:styleId="HeaderChar">
    <w:name w:val="Header Char"/>
    <w:basedOn w:val="DefaultParagraphFont"/>
    <w:link w:val="Header"/>
    <w:uiPriority w:val="99"/>
    <w:rsid w:val="00CA5DCE"/>
    <w:rPr>
      <w:rFonts w:ascii="Times New Roman" w:eastAsia="Times New Roman" w:hAnsi="Times New Roman" w:cs="Times New Roman"/>
    </w:rPr>
  </w:style>
  <w:style w:type="paragraph" w:styleId="Footer">
    <w:name w:val="footer"/>
    <w:basedOn w:val="Normal"/>
    <w:link w:val="FooterChar"/>
    <w:uiPriority w:val="99"/>
    <w:unhideWhenUsed/>
    <w:rsid w:val="00CA5DCE"/>
    <w:pPr>
      <w:tabs>
        <w:tab w:val="center" w:pos="4680"/>
        <w:tab w:val="right" w:pos="9360"/>
      </w:tabs>
    </w:pPr>
  </w:style>
  <w:style w:type="character" w:customStyle="1" w:styleId="FooterChar">
    <w:name w:val="Footer Char"/>
    <w:basedOn w:val="DefaultParagraphFont"/>
    <w:link w:val="Footer"/>
    <w:uiPriority w:val="99"/>
    <w:rsid w:val="00CA5DC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5DCE"/>
    <w:rPr>
      <w:rFonts w:ascii="Tahoma" w:hAnsi="Tahoma" w:cs="Tahoma"/>
      <w:sz w:val="16"/>
      <w:szCs w:val="16"/>
    </w:rPr>
  </w:style>
  <w:style w:type="character" w:customStyle="1" w:styleId="BalloonTextChar">
    <w:name w:val="Balloon Text Char"/>
    <w:basedOn w:val="DefaultParagraphFont"/>
    <w:link w:val="BalloonText"/>
    <w:uiPriority w:val="99"/>
    <w:semiHidden/>
    <w:rsid w:val="00CA5D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5DC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A5DCE"/>
    <w:pPr>
      <w:spacing w:before="1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DC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A5DCE"/>
    <w:pPr>
      <w:ind w:left="100"/>
    </w:pPr>
    <w:rPr>
      <w:sz w:val="24"/>
      <w:szCs w:val="24"/>
    </w:rPr>
  </w:style>
  <w:style w:type="character" w:customStyle="1" w:styleId="BodyTextChar">
    <w:name w:val="Body Text Char"/>
    <w:basedOn w:val="DefaultParagraphFont"/>
    <w:link w:val="BodyText"/>
    <w:uiPriority w:val="1"/>
    <w:rsid w:val="00CA5DCE"/>
    <w:rPr>
      <w:rFonts w:ascii="Times New Roman" w:eastAsia="Times New Roman" w:hAnsi="Times New Roman" w:cs="Times New Roman"/>
      <w:sz w:val="24"/>
      <w:szCs w:val="24"/>
    </w:rPr>
  </w:style>
  <w:style w:type="paragraph" w:styleId="ListParagraph">
    <w:name w:val="List Paragraph"/>
    <w:basedOn w:val="Normal"/>
    <w:uiPriority w:val="1"/>
    <w:qFormat/>
    <w:rsid w:val="00CA5DCE"/>
    <w:pPr>
      <w:ind w:left="820" w:hanging="360"/>
    </w:pPr>
  </w:style>
  <w:style w:type="paragraph" w:styleId="Header">
    <w:name w:val="header"/>
    <w:basedOn w:val="Normal"/>
    <w:link w:val="HeaderChar"/>
    <w:uiPriority w:val="99"/>
    <w:unhideWhenUsed/>
    <w:rsid w:val="00CA5DCE"/>
    <w:pPr>
      <w:tabs>
        <w:tab w:val="center" w:pos="4680"/>
        <w:tab w:val="right" w:pos="9360"/>
      </w:tabs>
    </w:pPr>
  </w:style>
  <w:style w:type="character" w:customStyle="1" w:styleId="HeaderChar">
    <w:name w:val="Header Char"/>
    <w:basedOn w:val="DefaultParagraphFont"/>
    <w:link w:val="Header"/>
    <w:uiPriority w:val="99"/>
    <w:rsid w:val="00CA5DCE"/>
    <w:rPr>
      <w:rFonts w:ascii="Times New Roman" w:eastAsia="Times New Roman" w:hAnsi="Times New Roman" w:cs="Times New Roman"/>
    </w:rPr>
  </w:style>
  <w:style w:type="paragraph" w:styleId="Footer">
    <w:name w:val="footer"/>
    <w:basedOn w:val="Normal"/>
    <w:link w:val="FooterChar"/>
    <w:uiPriority w:val="99"/>
    <w:unhideWhenUsed/>
    <w:rsid w:val="00CA5DCE"/>
    <w:pPr>
      <w:tabs>
        <w:tab w:val="center" w:pos="4680"/>
        <w:tab w:val="right" w:pos="9360"/>
      </w:tabs>
    </w:pPr>
  </w:style>
  <w:style w:type="character" w:customStyle="1" w:styleId="FooterChar">
    <w:name w:val="Footer Char"/>
    <w:basedOn w:val="DefaultParagraphFont"/>
    <w:link w:val="Footer"/>
    <w:uiPriority w:val="99"/>
    <w:rsid w:val="00CA5DC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A5DCE"/>
    <w:rPr>
      <w:rFonts w:ascii="Tahoma" w:hAnsi="Tahoma" w:cs="Tahoma"/>
      <w:sz w:val="16"/>
      <w:szCs w:val="16"/>
    </w:rPr>
  </w:style>
  <w:style w:type="character" w:customStyle="1" w:styleId="BalloonTextChar">
    <w:name w:val="Balloon Text Char"/>
    <w:basedOn w:val="DefaultParagraphFont"/>
    <w:link w:val="BalloonText"/>
    <w:uiPriority w:val="99"/>
    <w:semiHidden/>
    <w:rsid w:val="00CA5D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2262">
      <w:bodyDiv w:val="1"/>
      <w:marLeft w:val="0"/>
      <w:marRight w:val="0"/>
      <w:marTop w:val="0"/>
      <w:marBottom w:val="0"/>
      <w:divBdr>
        <w:top w:val="none" w:sz="0" w:space="0" w:color="auto"/>
        <w:left w:val="none" w:sz="0" w:space="0" w:color="auto"/>
        <w:bottom w:val="none" w:sz="0" w:space="0" w:color="auto"/>
        <w:right w:val="none" w:sz="0" w:space="0" w:color="auto"/>
      </w:divBdr>
      <w:divsChild>
        <w:div w:id="748966183">
          <w:marLeft w:val="0"/>
          <w:marRight w:val="0"/>
          <w:marTop w:val="0"/>
          <w:marBottom w:val="0"/>
          <w:divBdr>
            <w:top w:val="single" w:sz="12" w:space="0" w:color="D2D2D2"/>
            <w:left w:val="single" w:sz="12" w:space="0" w:color="D2D2D2"/>
            <w:bottom w:val="single" w:sz="12" w:space="0" w:color="D2D2D2"/>
            <w:right w:val="single" w:sz="12" w:space="0" w:color="D2D2D2"/>
          </w:divBdr>
          <w:divsChild>
            <w:div w:id="2001276726">
              <w:marLeft w:val="0"/>
              <w:marRight w:val="0"/>
              <w:marTop w:val="0"/>
              <w:marBottom w:val="0"/>
              <w:divBdr>
                <w:top w:val="none" w:sz="0" w:space="0" w:color="auto"/>
                <w:left w:val="none" w:sz="0" w:space="0" w:color="auto"/>
                <w:bottom w:val="none" w:sz="0" w:space="0" w:color="auto"/>
                <w:right w:val="none" w:sz="0" w:space="0" w:color="auto"/>
              </w:divBdr>
            </w:div>
            <w:div w:id="41297243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translat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sl.translatoruser.net/bv.aspx?from=en&amp;to=es&amp;a=http%3A%2F%2Fwww.hhs.gov%2Focr%2Foffice%2Ffile%2F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l.translatoruser.net/bv.aspx?from=en&amp;to=es&amp;a=https%3A%2F%2Focrportal.hhs.gov%2Focr%2Fportal%2Flobby.jsf"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2</cp:revision>
  <dcterms:created xsi:type="dcterms:W3CDTF">2016-10-31T18:23:00Z</dcterms:created>
  <dcterms:modified xsi:type="dcterms:W3CDTF">2016-10-31T18:43:00Z</dcterms:modified>
</cp:coreProperties>
</file>